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05" w:rsidRDefault="00CC109D">
      <w:r>
        <w:t>HIRENASD geometry</w:t>
      </w:r>
    </w:p>
    <w:p w:rsidR="00CC109D" w:rsidRDefault="00CC109D">
      <w:r>
        <w:t>Variable definitions used in provided data files</w:t>
      </w:r>
    </w:p>
    <w:p w:rsidR="00CC109D" w:rsidRDefault="00CC109D">
      <w:proofErr w:type="spellStart"/>
      <w:r>
        <w:t>J.Heeg</w:t>
      </w:r>
      <w:proofErr w:type="spellEnd"/>
    </w:p>
    <w:p w:rsidR="00CC109D" w:rsidRDefault="00CC109D">
      <w:r>
        <w:t>November 3, 2011</w:t>
      </w:r>
    </w:p>
    <w:p w:rsidR="002D39B4" w:rsidRDefault="002D39B4" w:rsidP="002D39B4">
      <w:r>
        <w:t>There are 7 chord-wise rows of pressure transducers.   The following table contains the variable names that appear in the geometry files that provide the transducer locations.</w:t>
      </w:r>
    </w:p>
    <w:p w:rsidR="002D39B4" w:rsidRPr="002D39B4" w:rsidRDefault="002D39B4" w:rsidP="002D39B4">
      <w:pPr>
        <w:rPr>
          <w:b/>
          <w:u w:val="single"/>
        </w:rPr>
      </w:pPr>
      <w:r w:rsidRPr="002D39B4">
        <w:rPr>
          <w:b/>
          <w:u w:val="single"/>
        </w:rPr>
        <w:t>File names:</w:t>
      </w:r>
    </w:p>
    <w:p w:rsidR="002D39B4" w:rsidRDefault="002D39B4" w:rsidP="002D39B4">
      <w:r>
        <w:t>Excel format:  Pressure_locations.xls</w:t>
      </w:r>
    </w:p>
    <w:p w:rsidR="002D39B4" w:rsidRDefault="002D39B4" w:rsidP="002D39B4">
      <w:proofErr w:type="spellStart"/>
      <w:proofErr w:type="gramStart"/>
      <w:r>
        <w:t>Ascii</w:t>
      </w:r>
      <w:proofErr w:type="spellEnd"/>
      <w:proofErr w:type="gramEnd"/>
      <w:r>
        <w:t xml:space="preserve"> format:  </w:t>
      </w:r>
      <w:proofErr w:type="spellStart"/>
      <w:r>
        <w:t>Pressure_locations_asciifile</w:t>
      </w:r>
      <w:proofErr w:type="spellEnd"/>
    </w:p>
    <w:p w:rsidR="002D39B4" w:rsidRDefault="002D39B4" w:rsidP="002D39B4">
      <w:proofErr w:type="spellStart"/>
      <w:r>
        <w:t>Matlab</w:t>
      </w:r>
      <w:proofErr w:type="spellEnd"/>
      <w:r>
        <w:t xml:space="preserve"> format: Xducer_locs_outputfile.mat</w:t>
      </w:r>
    </w:p>
    <w:p w:rsidR="002D39B4" w:rsidRDefault="002D39B4" w:rsidP="002D39B4">
      <w:proofErr w:type="spellStart"/>
      <w:r>
        <w:t>Tecplot</w:t>
      </w:r>
      <w:proofErr w:type="spellEnd"/>
      <w:r>
        <w:t xml:space="preserve"> format:  Pressure_</w:t>
      </w:r>
      <w:proofErr w:type="gramStart"/>
      <w:r>
        <w:t>locations.dat  (</w:t>
      </w:r>
      <w:proofErr w:type="gramEnd"/>
      <w:r>
        <w:t>layout files:   Pressures_locations_nondim_plot.lay and Pressure_locations_dim_plot.lay)</w:t>
      </w:r>
    </w:p>
    <w:p w:rsidR="00CC109D" w:rsidRDefault="00CC109D"/>
    <w:p w:rsidR="002D39B4" w:rsidRDefault="00CC109D">
      <w:r w:rsidRPr="002D39B4">
        <w:rPr>
          <w:b/>
          <w:u w:val="single"/>
        </w:rPr>
        <w:t>Coordinate system definition</w:t>
      </w:r>
      <w:r>
        <w:t xml:space="preserve">:  </w:t>
      </w:r>
    </w:p>
    <w:p w:rsidR="004A36A8" w:rsidRDefault="004A36A8" w:rsidP="004A36A8">
      <w:r w:rsidRPr="002D39B4">
        <w:rPr>
          <w:b/>
          <w:u w:val="single"/>
        </w:rPr>
        <w:t>Coordinate system definition</w:t>
      </w:r>
      <w:r>
        <w:t xml:space="preserve">:  </w:t>
      </w:r>
    </w:p>
    <w:p w:rsidR="004A36A8" w:rsidRDefault="004A36A8" w:rsidP="004A36A8">
      <w:r>
        <w:t xml:space="preserve">Origin is located at the wing root leading edge.  Positive directions:  x- flow-wise: aft; y- </w:t>
      </w:r>
      <w:proofErr w:type="spellStart"/>
      <w:r>
        <w:t>spanwise</w:t>
      </w:r>
      <w:proofErr w:type="spellEnd"/>
      <w:r>
        <w:t>:  from root to tip; z- wing thickness direction:  from wing lower surface to upper surface (right hand rule using the defined x and y positive directions</w:t>
      </w:r>
      <w:proofErr w:type="gramStart"/>
      <w:r>
        <w:t>)_</w:t>
      </w:r>
      <w:proofErr w:type="gramEnd"/>
    </w:p>
    <w:p w:rsidR="004A36A8" w:rsidRDefault="004A36A8" w:rsidP="004A36A8">
      <w:proofErr w:type="gramStart"/>
      <w:r>
        <w:t>Note that I am using these awkward descriptions because the model was tested vertically suspended from the wind tunnel ceiling.</w:t>
      </w:r>
      <w:proofErr w:type="gramEnd"/>
      <w:r>
        <w:t xml:space="preserve">  The lift is still in the z-axis direction, but the usual definitions of up and down, relative to gravity are not in the z-axis direction.  </w:t>
      </w:r>
    </w:p>
    <w:p w:rsidR="00CC109D" w:rsidRPr="004339D7" w:rsidRDefault="004339D7">
      <w:pPr>
        <w:rPr>
          <w:b/>
          <w:u w:val="single"/>
        </w:rPr>
      </w:pPr>
      <w:r w:rsidRPr="004339D7">
        <w:rPr>
          <w:b/>
          <w:u w:val="single"/>
        </w:rPr>
        <w:t>Variable names:</w:t>
      </w:r>
      <w:r>
        <w:rPr>
          <w:b/>
          <w:u w:val="single"/>
        </w:rPr>
        <w:t xml:space="preserve"> (for </w:t>
      </w:r>
      <w:proofErr w:type="spellStart"/>
      <w:r>
        <w:rPr>
          <w:b/>
          <w:u w:val="single"/>
        </w:rPr>
        <w:t>matlab</w:t>
      </w:r>
      <w:proofErr w:type="spellEnd"/>
      <w:r>
        <w:rPr>
          <w:b/>
          <w:u w:val="single"/>
        </w:rPr>
        <w:t>-specific information, please see additional description at the end of this document)</w:t>
      </w:r>
    </w:p>
    <w:tbl>
      <w:tblPr>
        <w:tblStyle w:val="TableGrid"/>
        <w:tblW w:w="0" w:type="auto"/>
        <w:tblLook w:val="04A0"/>
      </w:tblPr>
      <w:tblGrid>
        <w:gridCol w:w="3192"/>
        <w:gridCol w:w="3192"/>
        <w:gridCol w:w="3192"/>
      </w:tblGrid>
      <w:tr w:rsidR="00CC109D" w:rsidTr="00CC109D">
        <w:tc>
          <w:tcPr>
            <w:tcW w:w="3192" w:type="dxa"/>
          </w:tcPr>
          <w:p w:rsidR="00CC109D" w:rsidRDefault="00CC109D">
            <w:r>
              <w:t>Variable name</w:t>
            </w:r>
          </w:p>
        </w:tc>
        <w:tc>
          <w:tcPr>
            <w:tcW w:w="3192" w:type="dxa"/>
          </w:tcPr>
          <w:p w:rsidR="00CC109D" w:rsidRDefault="00CC109D">
            <w:r>
              <w:t>Definition</w:t>
            </w:r>
          </w:p>
        </w:tc>
        <w:tc>
          <w:tcPr>
            <w:tcW w:w="3192" w:type="dxa"/>
          </w:tcPr>
          <w:p w:rsidR="00CC109D" w:rsidRDefault="00CC109D">
            <w:r>
              <w:t>Units, where appropriate</w:t>
            </w:r>
          </w:p>
        </w:tc>
      </w:tr>
      <w:tr w:rsidR="00CC109D" w:rsidTr="00CC109D">
        <w:tc>
          <w:tcPr>
            <w:tcW w:w="3192" w:type="dxa"/>
          </w:tcPr>
          <w:p w:rsidR="00CC109D" w:rsidRDefault="00ED430A">
            <w:r>
              <w:t>x</w:t>
            </w:r>
          </w:p>
        </w:tc>
        <w:tc>
          <w:tcPr>
            <w:tcW w:w="3192" w:type="dxa"/>
          </w:tcPr>
          <w:p w:rsidR="00CC109D" w:rsidRDefault="00CC109D">
            <w:r>
              <w:t>Flow-direction coordinate, positive aft</w:t>
            </w:r>
          </w:p>
        </w:tc>
        <w:tc>
          <w:tcPr>
            <w:tcW w:w="3192" w:type="dxa"/>
          </w:tcPr>
          <w:p w:rsidR="00CC109D" w:rsidRDefault="00CC109D">
            <w:r>
              <w:t>meters</w:t>
            </w:r>
          </w:p>
        </w:tc>
      </w:tr>
      <w:tr w:rsidR="00CC109D" w:rsidTr="00CC109D">
        <w:tc>
          <w:tcPr>
            <w:tcW w:w="3192" w:type="dxa"/>
          </w:tcPr>
          <w:p w:rsidR="00CC109D" w:rsidRDefault="00ED430A">
            <w:r>
              <w:t>y</w:t>
            </w:r>
          </w:p>
        </w:tc>
        <w:tc>
          <w:tcPr>
            <w:tcW w:w="3192" w:type="dxa"/>
          </w:tcPr>
          <w:p w:rsidR="00CC109D" w:rsidRDefault="00CC109D">
            <w:r>
              <w:t>Span-wise coordinate, positive root to tip</w:t>
            </w:r>
          </w:p>
        </w:tc>
        <w:tc>
          <w:tcPr>
            <w:tcW w:w="3192" w:type="dxa"/>
          </w:tcPr>
          <w:p w:rsidR="00CC109D" w:rsidRDefault="00CC109D">
            <w:r>
              <w:t>Meters</w:t>
            </w:r>
          </w:p>
        </w:tc>
      </w:tr>
      <w:tr w:rsidR="00CC109D" w:rsidTr="00CC109D">
        <w:tc>
          <w:tcPr>
            <w:tcW w:w="3192" w:type="dxa"/>
          </w:tcPr>
          <w:p w:rsidR="00CC109D" w:rsidRDefault="00ED430A">
            <w:r>
              <w:t>z</w:t>
            </w:r>
          </w:p>
        </w:tc>
        <w:tc>
          <w:tcPr>
            <w:tcW w:w="3192" w:type="dxa"/>
          </w:tcPr>
          <w:p w:rsidR="00CC109D" w:rsidRDefault="004A36A8">
            <w:r>
              <w:t xml:space="preserve">Wing thickness direction coordinate, positive from wing bottom surface to wing top surface; (right hand rule using x </w:t>
            </w:r>
            <w:r>
              <w:lastRenderedPageBreak/>
              <w:t>and y definitions)</w:t>
            </w:r>
          </w:p>
        </w:tc>
        <w:tc>
          <w:tcPr>
            <w:tcW w:w="3192" w:type="dxa"/>
          </w:tcPr>
          <w:p w:rsidR="00CC109D" w:rsidRDefault="00CC109D">
            <w:r>
              <w:lastRenderedPageBreak/>
              <w:t>meters</w:t>
            </w:r>
          </w:p>
        </w:tc>
      </w:tr>
      <w:tr w:rsidR="00CC109D" w:rsidTr="00CC109D">
        <w:tc>
          <w:tcPr>
            <w:tcW w:w="3192" w:type="dxa"/>
          </w:tcPr>
          <w:p w:rsidR="00CC109D" w:rsidRDefault="00ED430A">
            <w:proofErr w:type="spellStart"/>
            <w:r>
              <w:lastRenderedPageBreak/>
              <w:t>x</w:t>
            </w:r>
            <w:r w:rsidR="00CC109D">
              <w:t>_normalized</w:t>
            </w:r>
            <w:proofErr w:type="spellEnd"/>
          </w:p>
        </w:tc>
        <w:tc>
          <w:tcPr>
            <w:tcW w:w="3192" w:type="dxa"/>
          </w:tcPr>
          <w:p w:rsidR="00CC109D" w:rsidRDefault="00CC109D">
            <w:r>
              <w:t xml:space="preserve">At each span station, the x-coordinate is normalized to run from 0 to 1.  Using the leading edge coordinate and chord for each span station, the normalized coordinate is computed: </w:t>
            </w:r>
            <w:proofErr w:type="spellStart"/>
            <w:r>
              <w:t>X_normalized</w:t>
            </w:r>
            <w:proofErr w:type="spellEnd"/>
            <w:r>
              <w:t xml:space="preserve"> =(X – </w:t>
            </w:r>
            <w:proofErr w:type="spellStart"/>
            <w:r>
              <w:t>X_le</w:t>
            </w:r>
            <w:proofErr w:type="spellEnd"/>
            <w:r>
              <w:t>)/chord</w:t>
            </w:r>
          </w:p>
        </w:tc>
        <w:tc>
          <w:tcPr>
            <w:tcW w:w="3192" w:type="dxa"/>
          </w:tcPr>
          <w:p w:rsidR="00CC109D" w:rsidRDefault="00CC109D"/>
        </w:tc>
      </w:tr>
      <w:tr w:rsidR="00CC109D" w:rsidTr="00CC109D">
        <w:tc>
          <w:tcPr>
            <w:tcW w:w="3192" w:type="dxa"/>
          </w:tcPr>
          <w:p w:rsidR="00CC109D" w:rsidRDefault="009F5CCB" w:rsidP="00ED430A">
            <w:pPr>
              <w:tabs>
                <w:tab w:val="left" w:pos="930"/>
              </w:tabs>
            </w:pPr>
            <w:r>
              <w:t>s</w:t>
            </w:r>
            <w:r w:rsidR="004339D7">
              <w:t xml:space="preserve">ection (or </w:t>
            </w:r>
            <w:r w:rsidR="00ED430A">
              <w:t>s</w:t>
            </w:r>
            <w:r w:rsidR="00CC109D">
              <w:t>tation</w:t>
            </w:r>
            <w:r w:rsidR="004339D7">
              <w:t xml:space="preserve"> </w:t>
            </w:r>
            <w:r w:rsidR="002D39B4">
              <w:t xml:space="preserve"> </w:t>
            </w:r>
            <w:r w:rsidR="00CC109D">
              <w:t xml:space="preserve">or </w:t>
            </w:r>
            <w:proofErr w:type="spellStart"/>
            <w:r w:rsidR="00CC109D">
              <w:t>span_station</w:t>
            </w:r>
            <w:proofErr w:type="spellEnd"/>
            <w:r w:rsidR="004339D7">
              <w:t>)</w:t>
            </w:r>
          </w:p>
        </w:tc>
        <w:tc>
          <w:tcPr>
            <w:tcW w:w="3192" w:type="dxa"/>
          </w:tcPr>
          <w:p w:rsidR="00CC109D" w:rsidRDefault="00CC109D" w:rsidP="00CC109D">
            <w:r>
              <w:t>Numbering of the chord-wise rows of pressure transducers:  the station closest to the root is labeled 1; the station closest to the tip is labeled 7</w:t>
            </w:r>
          </w:p>
        </w:tc>
        <w:tc>
          <w:tcPr>
            <w:tcW w:w="3192" w:type="dxa"/>
          </w:tcPr>
          <w:p w:rsidR="00CC109D" w:rsidRDefault="00CC109D"/>
        </w:tc>
      </w:tr>
      <w:tr w:rsidR="00CC109D" w:rsidTr="00CC109D">
        <w:tc>
          <w:tcPr>
            <w:tcW w:w="3192" w:type="dxa"/>
          </w:tcPr>
          <w:p w:rsidR="00CC109D" w:rsidRDefault="00CC109D" w:rsidP="0018199A">
            <w:pPr>
              <w:tabs>
                <w:tab w:val="left" w:pos="930"/>
              </w:tabs>
            </w:pPr>
            <w:proofErr w:type="spellStart"/>
            <w:r>
              <w:t>X_le</w:t>
            </w:r>
            <w:proofErr w:type="spellEnd"/>
          </w:p>
        </w:tc>
        <w:tc>
          <w:tcPr>
            <w:tcW w:w="3192" w:type="dxa"/>
          </w:tcPr>
          <w:p w:rsidR="00CC109D" w:rsidRDefault="00CC109D" w:rsidP="0018199A">
            <w:r>
              <w:t>Leading edge location at each of the 7 span stations</w:t>
            </w:r>
          </w:p>
        </w:tc>
        <w:tc>
          <w:tcPr>
            <w:tcW w:w="3192" w:type="dxa"/>
          </w:tcPr>
          <w:p w:rsidR="00CC109D" w:rsidRDefault="00CC109D" w:rsidP="0018199A">
            <w:r>
              <w:t>Meters</w:t>
            </w:r>
          </w:p>
        </w:tc>
      </w:tr>
      <w:tr w:rsidR="00CC109D" w:rsidTr="00CC109D">
        <w:tc>
          <w:tcPr>
            <w:tcW w:w="3192" w:type="dxa"/>
          </w:tcPr>
          <w:p w:rsidR="00CC109D" w:rsidRDefault="00ED430A">
            <w:r>
              <w:t>c</w:t>
            </w:r>
            <w:r w:rsidR="009E3336">
              <w:t>hord (or local chord length)</w:t>
            </w:r>
          </w:p>
        </w:tc>
        <w:tc>
          <w:tcPr>
            <w:tcW w:w="3192" w:type="dxa"/>
          </w:tcPr>
          <w:p w:rsidR="00CC109D" w:rsidRDefault="009E3336">
            <w:r>
              <w:t>Chord length at each of the 7 span stations</w:t>
            </w:r>
          </w:p>
        </w:tc>
        <w:tc>
          <w:tcPr>
            <w:tcW w:w="3192" w:type="dxa"/>
          </w:tcPr>
          <w:p w:rsidR="00CC109D" w:rsidRDefault="009E3336">
            <w:r>
              <w:t>meters</w:t>
            </w:r>
          </w:p>
        </w:tc>
      </w:tr>
      <w:tr w:rsidR="00CC109D" w:rsidTr="00CC109D">
        <w:tc>
          <w:tcPr>
            <w:tcW w:w="3192" w:type="dxa"/>
          </w:tcPr>
          <w:p w:rsidR="00CC109D" w:rsidRDefault="00ED430A">
            <w:r>
              <w:t>e</w:t>
            </w:r>
            <w:r w:rsidR="009E3336">
              <w:t>ta</w:t>
            </w:r>
          </w:p>
        </w:tc>
        <w:tc>
          <w:tcPr>
            <w:tcW w:w="3192" w:type="dxa"/>
          </w:tcPr>
          <w:p w:rsidR="00CC109D" w:rsidRDefault="009E3336">
            <w:r>
              <w:t>Normalized y-location of each of the 7 span stations.  Normalized by span of the wing, 1.2</w:t>
            </w:r>
            <w:r w:rsidR="002A6981">
              <w:t>85 meters</w:t>
            </w:r>
          </w:p>
        </w:tc>
        <w:tc>
          <w:tcPr>
            <w:tcW w:w="3192" w:type="dxa"/>
          </w:tcPr>
          <w:p w:rsidR="00CC109D" w:rsidRDefault="00CC109D"/>
        </w:tc>
      </w:tr>
      <w:tr w:rsidR="00CC109D" w:rsidTr="00CC109D">
        <w:tc>
          <w:tcPr>
            <w:tcW w:w="3192" w:type="dxa"/>
          </w:tcPr>
          <w:p w:rsidR="00CC109D" w:rsidRDefault="00950365">
            <w:r>
              <w:t>Port number</w:t>
            </w:r>
            <w:r w:rsidR="004339D7">
              <w:t xml:space="preserve"> ( or </w:t>
            </w:r>
            <w:proofErr w:type="spellStart"/>
            <w:r w:rsidR="004339D7">
              <w:t>isensor_keep</w:t>
            </w:r>
            <w:proofErr w:type="spellEnd"/>
            <w:r w:rsidR="004339D7">
              <w:t>)</w:t>
            </w:r>
          </w:p>
        </w:tc>
        <w:tc>
          <w:tcPr>
            <w:tcW w:w="3192" w:type="dxa"/>
          </w:tcPr>
          <w:p w:rsidR="00CC109D" w:rsidRDefault="00950365" w:rsidP="009E3336">
            <w:r>
              <w:t xml:space="preserve">Pressure port </w:t>
            </w:r>
            <w:r w:rsidR="009E3336">
              <w:t xml:space="preserve">number for a given span station.  The pressure transducer numbering is separate for each span station. Top and bottom ports are numbered as a single set.  Missing numbers in the sequence indicate sensors that were determined to be nonfunctional (Data point 132 was used to make this functionality assessment.)   </w:t>
            </w:r>
          </w:p>
        </w:tc>
        <w:tc>
          <w:tcPr>
            <w:tcW w:w="3192" w:type="dxa"/>
          </w:tcPr>
          <w:p w:rsidR="00CC109D" w:rsidRDefault="00CC109D"/>
        </w:tc>
      </w:tr>
    </w:tbl>
    <w:p w:rsidR="00CC109D" w:rsidRDefault="00CC109D"/>
    <w:p w:rsidR="002D39B4" w:rsidRPr="002D39B4" w:rsidRDefault="002D39B4">
      <w:pPr>
        <w:rPr>
          <w:b/>
          <w:u w:val="single"/>
        </w:rPr>
      </w:pPr>
      <w:r w:rsidRPr="002D39B4">
        <w:rPr>
          <w:b/>
          <w:u w:val="single"/>
        </w:rPr>
        <w:t>Reference Quantities:</w:t>
      </w:r>
    </w:p>
    <w:p w:rsidR="002A6981" w:rsidRDefault="002D39B4">
      <w:r>
        <w:t>Span = 1.285 meters</w:t>
      </w:r>
    </w:p>
    <w:p w:rsidR="002D39B4" w:rsidRDefault="002D39B4">
      <w:r>
        <w:t xml:space="preserve">Reference chord length = </w:t>
      </w:r>
      <w:r w:rsidR="006010A7">
        <w:t>0.344</w:t>
      </w:r>
      <w:r>
        <w:t>5 meters (note that this is not used in normalizing the chord sections.  The local chord length is used)</w:t>
      </w:r>
    </w:p>
    <w:p w:rsidR="002D39B4" w:rsidRDefault="002D39B4">
      <w:r>
        <w:t xml:space="preserve">Root chord = </w:t>
      </w:r>
      <w:r w:rsidR="006010A7">
        <w:t>0.549</w:t>
      </w:r>
      <w:r>
        <w:t>4 meters</w:t>
      </w:r>
    </w:p>
    <w:p w:rsidR="002D39B4" w:rsidRDefault="006010A7">
      <w:r>
        <w:t>Tip chord = 0.149</w:t>
      </w:r>
      <w:r w:rsidR="002D39B4">
        <w:t>3 meters</w:t>
      </w:r>
    </w:p>
    <w:p w:rsidR="002A6981" w:rsidRPr="002D39B4" w:rsidRDefault="002A6981">
      <w:pPr>
        <w:rPr>
          <w:b/>
          <w:u w:val="single"/>
        </w:rPr>
      </w:pPr>
      <w:r w:rsidRPr="002D39B4">
        <w:rPr>
          <w:b/>
          <w:u w:val="single"/>
        </w:rPr>
        <w:t>Notes regarding span station:</w:t>
      </w:r>
    </w:p>
    <w:p w:rsidR="002A6981" w:rsidRDefault="002A6981">
      <w:r>
        <w:lastRenderedPageBreak/>
        <w:t xml:space="preserve">A small discrepancy has been noted, likely due to round off, between the values given as the y-coordinate and the normalized coordinate, eta.  The following table shows that the maximum difference in span station using the published values of eta rather than recalculated values is 1.6 millimeters in span location.  </w:t>
      </w:r>
    </w:p>
    <w:p w:rsidR="009E3336" w:rsidRDefault="002A6981">
      <w:r>
        <w:t>Span = 1.285 meters</w:t>
      </w:r>
    </w:p>
    <w:tbl>
      <w:tblPr>
        <w:tblStyle w:val="TableGrid"/>
        <w:tblW w:w="0" w:type="auto"/>
        <w:tblLook w:val="04A0"/>
      </w:tblPr>
      <w:tblGrid>
        <w:gridCol w:w="1915"/>
        <w:gridCol w:w="1915"/>
        <w:gridCol w:w="1915"/>
        <w:gridCol w:w="1915"/>
        <w:gridCol w:w="1915"/>
      </w:tblGrid>
      <w:tr w:rsidR="002A6981" w:rsidTr="00E561CB">
        <w:tc>
          <w:tcPr>
            <w:tcW w:w="1915" w:type="dxa"/>
          </w:tcPr>
          <w:p w:rsidR="002A6981" w:rsidRDefault="002A6981">
            <w:r>
              <w:t>Y coordinate, meters</w:t>
            </w:r>
          </w:p>
        </w:tc>
        <w:tc>
          <w:tcPr>
            <w:tcW w:w="1915" w:type="dxa"/>
          </w:tcPr>
          <w:p w:rsidR="002A6981" w:rsidRDefault="002A6981">
            <w:r>
              <w:t>Eta</w:t>
            </w:r>
          </w:p>
        </w:tc>
        <w:tc>
          <w:tcPr>
            <w:tcW w:w="1915" w:type="dxa"/>
          </w:tcPr>
          <w:p w:rsidR="002A6981" w:rsidRDefault="002A6981">
            <w:r>
              <w:t>Eta * span</w:t>
            </w:r>
          </w:p>
        </w:tc>
        <w:tc>
          <w:tcPr>
            <w:tcW w:w="1915" w:type="dxa"/>
          </w:tcPr>
          <w:p w:rsidR="002A6981" w:rsidRDefault="002A6981" w:rsidP="0018199A">
            <w:r>
              <w:t>Difference, millimeters</w:t>
            </w:r>
          </w:p>
        </w:tc>
        <w:tc>
          <w:tcPr>
            <w:tcW w:w="1915" w:type="dxa"/>
          </w:tcPr>
          <w:p w:rsidR="002A6981" w:rsidRDefault="002A6981" w:rsidP="0018199A">
            <w:r>
              <w:t>% difference</w:t>
            </w:r>
          </w:p>
        </w:tc>
      </w:tr>
      <w:tr w:rsidR="002A6981" w:rsidTr="00BD57BE">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0.1848</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0.145</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0.1863</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1.476</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0.7985</w:t>
            </w:r>
          </w:p>
        </w:tc>
      </w:tr>
      <w:tr w:rsidR="002A6981" w:rsidTr="00BD57BE">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0.4135</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0.323</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0.4151</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1.5872</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0.3839</w:t>
            </w:r>
          </w:p>
        </w:tc>
      </w:tr>
      <w:tr w:rsidR="002A6981" w:rsidTr="00BD57BE">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0.5846</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0.456</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0.586</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1.3889</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0.2376</w:t>
            </w:r>
          </w:p>
        </w:tc>
      </w:tr>
      <w:tr w:rsidR="002A6981" w:rsidTr="00BD57BE">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0.7559</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0.589</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0.7569</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0.9218</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0.1219</w:t>
            </w:r>
          </w:p>
        </w:tc>
      </w:tr>
      <w:tr w:rsidR="002A6981" w:rsidTr="00BD57BE">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0.8408</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0.655</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0.8417</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0.835</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0.0993</w:t>
            </w:r>
          </w:p>
        </w:tc>
      </w:tr>
      <w:tr w:rsidR="002A6981" w:rsidTr="00BD57BE">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1.0325</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0.804</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1.0331</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0.6536</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0.0633</w:t>
            </w:r>
          </w:p>
        </w:tc>
      </w:tr>
      <w:tr w:rsidR="002A6981" w:rsidTr="00BD57BE">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1.224</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0.953</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1.2246</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0.6483</w:t>
            </w:r>
          </w:p>
        </w:tc>
        <w:tc>
          <w:tcPr>
            <w:tcW w:w="1915" w:type="dxa"/>
            <w:vAlign w:val="bottom"/>
          </w:tcPr>
          <w:p w:rsidR="002A6981" w:rsidRPr="002A6981" w:rsidRDefault="002A6981" w:rsidP="002A6981">
            <w:pPr>
              <w:jc w:val="center"/>
              <w:rPr>
                <w:rFonts w:ascii="Calibri" w:hAnsi="Calibri" w:cs="Calibri"/>
                <w:color w:val="000000"/>
                <w:sz w:val="32"/>
              </w:rPr>
            </w:pPr>
            <w:r w:rsidRPr="002A6981">
              <w:rPr>
                <w:rFonts w:ascii="Calibri" w:hAnsi="Calibri" w:cs="Calibri"/>
                <w:color w:val="000000"/>
                <w:sz w:val="32"/>
              </w:rPr>
              <w:t>0.053</w:t>
            </w:r>
          </w:p>
        </w:tc>
      </w:tr>
    </w:tbl>
    <w:p w:rsidR="009E3336" w:rsidRDefault="009E3336"/>
    <w:p w:rsidR="004339D7" w:rsidRDefault="004339D7"/>
    <w:p w:rsidR="004339D7" w:rsidRPr="00121A55" w:rsidRDefault="004339D7">
      <w:pPr>
        <w:rPr>
          <w:b/>
          <w:u w:val="single"/>
        </w:rPr>
      </w:pPr>
      <w:r w:rsidRPr="00121A55">
        <w:rPr>
          <w:b/>
          <w:u w:val="single"/>
        </w:rPr>
        <w:t xml:space="preserve">MATLAB </w:t>
      </w:r>
      <w:r w:rsidR="00121A55" w:rsidRPr="00121A55">
        <w:rPr>
          <w:b/>
          <w:u w:val="single"/>
        </w:rPr>
        <w:t>structures</w:t>
      </w:r>
    </w:p>
    <w:p w:rsidR="004339D7" w:rsidRDefault="004339D7">
      <w:r>
        <w:t xml:space="preserve">The variables defined above are in the </w:t>
      </w:r>
      <w:proofErr w:type="spellStart"/>
      <w:r>
        <w:t>matlab</w:t>
      </w:r>
      <w:proofErr w:type="spellEnd"/>
      <w:r>
        <w:t xml:space="preserve"> data file, but they are incorporated into data structures.  The file contains 2 data structures:  </w:t>
      </w:r>
      <w:proofErr w:type="spellStart"/>
      <w:r>
        <w:t>station_</w:t>
      </w:r>
      <w:proofErr w:type="gramStart"/>
      <w:r>
        <w:t>geom</w:t>
      </w:r>
      <w:proofErr w:type="spellEnd"/>
      <w:r>
        <w:t xml:space="preserve">  and</w:t>
      </w:r>
      <w:proofErr w:type="gramEnd"/>
      <w:r>
        <w:t xml:space="preserve"> </w:t>
      </w:r>
      <w:proofErr w:type="spellStart"/>
      <w:r>
        <w:t>Xducer_locs_output</w:t>
      </w:r>
      <w:proofErr w:type="spellEnd"/>
      <w:r>
        <w:t>.</w:t>
      </w:r>
    </w:p>
    <w:p w:rsidR="004339D7" w:rsidRDefault="004339D7">
      <w:proofErr w:type="spellStart"/>
      <w:proofErr w:type="gramStart"/>
      <w:r w:rsidRPr="00121A55">
        <w:rPr>
          <w:b/>
          <w:u w:val="single"/>
        </w:rPr>
        <w:t>station_geom</w:t>
      </w:r>
      <w:proofErr w:type="spellEnd"/>
      <w:proofErr w:type="gramEnd"/>
      <w:r>
        <w:t xml:space="preserve"> has 5 fields </w:t>
      </w:r>
      <w:proofErr w:type="spellStart"/>
      <w:r>
        <w:t>x_le</w:t>
      </w:r>
      <w:proofErr w:type="spellEnd"/>
      <w:r>
        <w:t xml:space="preserve">, </w:t>
      </w:r>
      <w:proofErr w:type="spellStart"/>
      <w:r>
        <w:t>x_te</w:t>
      </w:r>
      <w:proofErr w:type="spellEnd"/>
      <w:r>
        <w:t>, chord, y and eta.  Each of these fields contains 7 values, one for each span station.</w:t>
      </w:r>
    </w:p>
    <w:p w:rsidR="004339D7" w:rsidRDefault="004339D7">
      <w:r>
        <w:t>Ex</w:t>
      </w:r>
      <w:r w:rsidR="00121A55">
        <w:t>ample</w:t>
      </w:r>
      <w:r>
        <w:t xml:space="preserve"> of extracting data from this data structure:</w:t>
      </w:r>
    </w:p>
    <w:p w:rsidR="002F5347" w:rsidRDefault="002F5347">
      <w:r>
        <w:t xml:space="preserve">The </w:t>
      </w:r>
      <w:proofErr w:type="spellStart"/>
      <w:r>
        <w:t>nondimensional</w:t>
      </w:r>
      <w:proofErr w:type="spellEnd"/>
      <w:r>
        <w:t xml:space="preserve"> y location of the 5</w:t>
      </w:r>
      <w:r w:rsidRPr="002F5347">
        <w:rPr>
          <w:vertAlign w:val="superscript"/>
        </w:rPr>
        <w:t>th</w:t>
      </w:r>
      <w:r>
        <w:t xml:space="preserve"> station:</w:t>
      </w:r>
    </w:p>
    <w:p w:rsidR="004339D7" w:rsidRDefault="004339D7">
      <w:r>
        <w:t>Eta_spanstation5 = station_</w:t>
      </w:r>
      <w:proofErr w:type="gramStart"/>
      <w:r>
        <w:t>geom.eta(</w:t>
      </w:r>
      <w:proofErr w:type="gramEnd"/>
      <w:r>
        <w:t>5)</w:t>
      </w:r>
    </w:p>
    <w:p w:rsidR="004339D7" w:rsidRDefault="004339D7">
      <w:proofErr w:type="spellStart"/>
      <w:r w:rsidRPr="00121A55">
        <w:rPr>
          <w:b/>
        </w:rPr>
        <w:t>Xducer_locs_output</w:t>
      </w:r>
      <w:proofErr w:type="spellEnd"/>
      <w:r>
        <w:t xml:space="preserve"> has 8 fields of data:  </w:t>
      </w:r>
      <w:proofErr w:type="spellStart"/>
      <w:r>
        <w:t>n_sensors</w:t>
      </w:r>
      <w:proofErr w:type="spellEnd"/>
      <w:r>
        <w:t xml:space="preserve">, </w:t>
      </w:r>
      <w:proofErr w:type="spellStart"/>
      <w:r>
        <w:t>x</w:t>
      </w:r>
      <w:proofErr w:type="gramStart"/>
      <w:r>
        <w:t>,y,z,nsens,x</w:t>
      </w:r>
      <w:proofErr w:type="gramEnd"/>
      <w:r>
        <w:t>_normalized</w:t>
      </w:r>
      <w:proofErr w:type="spellEnd"/>
      <w:r>
        <w:t xml:space="preserve">, </w:t>
      </w:r>
      <w:proofErr w:type="spellStart"/>
      <w:r>
        <w:t>x_signed</w:t>
      </w:r>
      <w:proofErr w:type="spellEnd"/>
      <w:r>
        <w:t xml:space="preserve"> and </w:t>
      </w:r>
      <w:proofErr w:type="spellStart"/>
      <w:r>
        <w:t>isensor_keep</w:t>
      </w:r>
      <w:proofErr w:type="spellEnd"/>
    </w:p>
    <w:p w:rsidR="004339D7" w:rsidRDefault="00121A55">
      <w:r>
        <w:t>Example of extracting data from this data structure:</w:t>
      </w:r>
    </w:p>
    <w:p w:rsidR="002F5347" w:rsidRDefault="002F5347">
      <w:r>
        <w:t xml:space="preserve">The </w:t>
      </w:r>
      <w:proofErr w:type="spellStart"/>
      <w:r>
        <w:t>nondimensional</w:t>
      </w:r>
      <w:proofErr w:type="spellEnd"/>
      <w:r>
        <w:t xml:space="preserve"> x location of the 10</w:t>
      </w:r>
      <w:r w:rsidRPr="002F5347">
        <w:rPr>
          <w:vertAlign w:val="superscript"/>
        </w:rPr>
        <w:t>th</w:t>
      </w:r>
      <w:r>
        <w:t xml:space="preserve"> transducer at the 5</w:t>
      </w:r>
      <w:r w:rsidRPr="002F5347">
        <w:rPr>
          <w:vertAlign w:val="superscript"/>
        </w:rPr>
        <w:t>th</w:t>
      </w:r>
      <w:r>
        <w:t xml:space="preserve"> span station:</w:t>
      </w:r>
    </w:p>
    <w:p w:rsidR="00121A55" w:rsidRDefault="00121A55">
      <w:r>
        <w:t xml:space="preserve">x_normalized_5_10 = </w:t>
      </w:r>
      <w:proofErr w:type="spellStart"/>
      <w:r>
        <w:t>Xducer_locs_</w:t>
      </w:r>
      <w:proofErr w:type="gramStart"/>
      <w:r>
        <w:t>output</w:t>
      </w:r>
      <w:proofErr w:type="spellEnd"/>
      <w:r>
        <w:t>(</w:t>
      </w:r>
      <w:proofErr w:type="gramEnd"/>
      <w:r>
        <w:t>5).</w:t>
      </w:r>
      <w:proofErr w:type="spellStart"/>
      <w:r>
        <w:t>x_normalized</w:t>
      </w:r>
      <w:proofErr w:type="spellEnd"/>
      <w:r>
        <w:t>(10)</w:t>
      </w:r>
    </w:p>
    <w:sectPr w:rsidR="00121A55" w:rsidSect="000B7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09D"/>
    <w:rsid w:val="000B740F"/>
    <w:rsid w:val="001077D4"/>
    <w:rsid w:val="00121A55"/>
    <w:rsid w:val="002A6981"/>
    <w:rsid w:val="002D39B4"/>
    <w:rsid w:val="002F5347"/>
    <w:rsid w:val="004339D7"/>
    <w:rsid w:val="00455204"/>
    <w:rsid w:val="004A36A8"/>
    <w:rsid w:val="006010A7"/>
    <w:rsid w:val="00947DD6"/>
    <w:rsid w:val="00950365"/>
    <w:rsid w:val="009E3336"/>
    <w:rsid w:val="009F5CCB"/>
    <w:rsid w:val="00A336DF"/>
    <w:rsid w:val="00A93C1B"/>
    <w:rsid w:val="00C01EAB"/>
    <w:rsid w:val="00CC109D"/>
    <w:rsid w:val="00ED430A"/>
    <w:rsid w:val="00EE4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ODIN</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jheeg</dc:creator>
  <cp:keywords/>
  <dc:description/>
  <cp:lastModifiedBy>jheeg</cp:lastModifiedBy>
  <cp:revision>12</cp:revision>
  <dcterms:created xsi:type="dcterms:W3CDTF">2011-11-03T15:20:00Z</dcterms:created>
  <dcterms:modified xsi:type="dcterms:W3CDTF">2011-11-03T18:01:00Z</dcterms:modified>
</cp:coreProperties>
</file>